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D33643">
      <w:pPr>
        <w:pStyle w:val="Header"/>
        <w:bidi w:val="0"/>
        <w:divId w:val="926886178"/>
        <w:rPr>
          <w:sz w:val="24"/>
          <w:szCs w:val="24"/>
        </w:rPr>
      </w:pPr>
    </w:p>
    <w:p w:rsidR="00000000" w:rsidRDefault="00D33643" w:rsidP="00D33643">
      <w:pPr>
        <w:pStyle w:val="Title"/>
        <w:jc w:val="center"/>
        <w:rPr>
          <w:rFonts w:hint="cs"/>
          <w:rtl/>
        </w:rPr>
      </w:pPr>
      <w:bookmarkStart w:id="0" w:name="_GoBack"/>
      <w:r>
        <w:rPr>
          <w:rStyle w:val="Strong"/>
          <w:rFonts w:cs="David" w:hint="cs"/>
          <w:sz w:val="32"/>
          <w:szCs w:val="32"/>
          <w:u w:val="single"/>
          <w:rtl/>
        </w:rPr>
        <w:t>ביטול הכרזה בדבר קיום מונופולין</w:t>
      </w:r>
    </w:p>
    <w:bookmarkEnd w:id="0"/>
    <w:p w:rsidR="00000000" w:rsidRDefault="00D33643">
      <w:pPr>
        <w:jc w:val="center"/>
        <w:rPr>
          <w:rtl/>
        </w:rPr>
      </w:pPr>
      <w:r>
        <w:rPr>
          <w:rStyle w:val="Strong"/>
          <w:rFonts w:cs="David" w:hint="cs"/>
          <w:sz w:val="24"/>
          <w:szCs w:val="24"/>
          <w:rtl/>
        </w:rPr>
        <w:t>לפי חוק ההגבלים העסקיים, התשמ"ח - 1988</w:t>
      </w:r>
    </w:p>
    <w:p w:rsidR="00000000" w:rsidRDefault="00D33643">
      <w:pPr>
        <w:rPr>
          <w:rtl/>
        </w:rPr>
      </w:pPr>
      <w:r>
        <w:rPr>
          <w:rFonts w:cs="David" w:hint="cs"/>
          <w:sz w:val="28"/>
          <w:szCs w:val="28"/>
          <w:rtl/>
        </w:rPr>
        <w:t> </w:t>
      </w:r>
    </w:p>
    <w:p w:rsidR="00000000" w:rsidRDefault="00D33643">
      <w:pPr>
        <w:rPr>
          <w:rtl/>
        </w:rPr>
      </w:pPr>
      <w:r>
        <w:rPr>
          <w:rFonts w:cs="David" w:hint="cs"/>
          <w:sz w:val="24"/>
          <w:szCs w:val="24"/>
          <w:rtl/>
        </w:rPr>
        <w:t>בתוקף סמכותי לפי סעיף 26(א) לחוק ההגבלים העסקיים, התשמ"ח - 1988</w:t>
      </w:r>
      <w:bookmarkStart w:id="1" w:name="_ftnref1"/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HYPERLINK "" \l "_ftn1" \o</w:instrText>
      </w:r>
      <w:r>
        <w:rPr>
          <w:rtl/>
        </w:rPr>
        <w:instrText xml:space="preserve"> ""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Style w:val="FootnoteReference"/>
          <w:color w:val="0000FF"/>
          <w:u w:val="single"/>
        </w:rPr>
        <w:t>[1]</w:t>
      </w:r>
      <w:r>
        <w:rPr>
          <w:rtl/>
        </w:rPr>
        <w:fldChar w:fldCharType="end"/>
      </w:r>
      <w:bookmarkEnd w:id="1"/>
      <w:r>
        <w:rPr>
          <w:rFonts w:cs="David" w:hint="cs"/>
          <w:sz w:val="24"/>
          <w:szCs w:val="24"/>
          <w:rtl/>
        </w:rPr>
        <w:t>, אני מכריזה בזאת על ביטול ההכרזה הקיימת של "</w:t>
      </w:r>
      <w:r>
        <w:rPr>
          <w:rStyle w:val="Strong"/>
          <w:rFonts w:cs="David" w:hint="cs"/>
          <w:sz w:val="24"/>
          <w:szCs w:val="24"/>
          <w:rtl/>
        </w:rPr>
        <w:t>שמעון שסטוביץ בע"מ</w:t>
      </w:r>
      <w:r>
        <w:rPr>
          <w:rFonts w:cs="David" w:hint="cs"/>
          <w:sz w:val="24"/>
          <w:szCs w:val="24"/>
          <w:rtl/>
        </w:rPr>
        <w:t>"</w:t>
      </w:r>
      <w:bookmarkStart w:id="2" w:name="_ftnref2"/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HYPERLINK "" \l "_ftn2" \o</w:instrText>
      </w:r>
      <w:r>
        <w:rPr>
          <w:rtl/>
        </w:rPr>
        <w:instrText xml:space="preserve"> ""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Style w:val="FootnoteReference"/>
          <w:color w:val="0000FF"/>
          <w:u w:val="single"/>
        </w:rPr>
        <w:t>[2]</w:t>
      </w:r>
      <w:r>
        <w:rPr>
          <w:rtl/>
        </w:rPr>
        <w:fldChar w:fldCharType="end"/>
      </w:r>
      <w:bookmarkEnd w:id="2"/>
      <w:r>
        <w:rPr>
          <w:rFonts w:cs="David" w:hint="cs"/>
          <w:sz w:val="24"/>
          <w:szCs w:val="24"/>
          <w:rtl/>
        </w:rPr>
        <w:t xml:space="preserve"> כבעלת מונופולין בתחום אספקת סכיני גילוח חד פעמיים ורב פעמיים בתחומי מדינת ישראל, וזאת לאחר שקיבלתי את הודעתה של חברת ש. שסטוביץ בע"מ, לפיה היא הפסיקה כליל</w:t>
      </w:r>
      <w:r>
        <w:rPr>
          <w:rFonts w:cs="David" w:hint="cs"/>
          <w:sz w:val="24"/>
          <w:szCs w:val="24"/>
          <w:rtl/>
        </w:rPr>
        <w:t xml:space="preserve"> את פעילותה בתחום זה, ועל כן, בהכרח, לא מתקיים בה עוד האמור בסעיף 26(א) לחוק.</w:t>
      </w:r>
    </w:p>
    <w:p w:rsidR="00000000" w:rsidRDefault="00D33643">
      <w:pPr>
        <w:rPr>
          <w:rtl/>
        </w:rPr>
      </w:pPr>
      <w:r>
        <w:rPr>
          <w:rFonts w:cs="David" w:hint="cs"/>
          <w:sz w:val="24"/>
          <w:szCs w:val="24"/>
          <w:rtl/>
        </w:rPr>
        <w:t> </w:t>
      </w:r>
    </w:p>
    <w:p w:rsidR="00000000" w:rsidRDefault="00D33643">
      <w:pPr>
        <w:rPr>
          <w:rtl/>
        </w:rPr>
      </w:pPr>
      <w:r>
        <w:rPr>
          <w:rFonts w:cs="David" w:hint="cs"/>
          <w:sz w:val="24"/>
          <w:szCs w:val="24"/>
          <w:rtl/>
        </w:rPr>
        <w:t>תוקף ביטול ההכרזה – ממועד החלטתי זו.</w:t>
      </w:r>
    </w:p>
    <w:p w:rsidR="00000000" w:rsidRDefault="00D33643">
      <w:pPr>
        <w:rPr>
          <w:rtl/>
        </w:rPr>
      </w:pPr>
      <w:r>
        <w:rPr>
          <w:rFonts w:cs="David" w:hint="cs"/>
          <w:sz w:val="24"/>
          <w:szCs w:val="24"/>
          <w:rtl/>
        </w:rPr>
        <w:t> </w:t>
      </w:r>
    </w:p>
    <w:p w:rsidR="00000000" w:rsidRDefault="00D33643">
      <w:pPr>
        <w:rPr>
          <w:rtl/>
        </w:rPr>
      </w:pPr>
      <w:r>
        <w:rPr>
          <w:rFonts w:cs="David" w:hint="cs"/>
          <w:sz w:val="24"/>
          <w:szCs w:val="24"/>
          <w:rtl/>
        </w:rPr>
        <w:t xml:space="preserve">החלטת ביטול ההכרזה פתוחה לעיון הציבור בתיק מונופולין 3683 במשרד רשות ההגבלים העסקיים, רחוב כנפי נשרים 22, ירושלים ובאתר האינטרנט של רשות </w:t>
      </w:r>
      <w:r>
        <w:rPr>
          <w:rFonts w:cs="David" w:hint="cs"/>
          <w:sz w:val="24"/>
          <w:szCs w:val="24"/>
          <w:rtl/>
        </w:rPr>
        <w:t xml:space="preserve">ההגבלים העסקיים שכתובתו: </w:t>
      </w:r>
      <w:hyperlink r:id="rId6" w:history="1">
        <w:r>
          <w:rPr>
            <w:rStyle w:val="Hyperlink"/>
          </w:rPr>
          <w:t>www.antitrust.gov.il</w:t>
        </w:r>
      </w:hyperlink>
      <w:r>
        <w:rPr>
          <w:rFonts w:cs="David" w:hint="cs"/>
          <w:sz w:val="24"/>
          <w:szCs w:val="24"/>
          <w:rtl/>
        </w:rPr>
        <w:t>.</w:t>
      </w:r>
    </w:p>
    <w:p w:rsidR="00000000" w:rsidRDefault="00D33643">
      <w:pPr>
        <w:rPr>
          <w:rtl/>
        </w:rPr>
      </w:pPr>
      <w:r>
        <w:rPr>
          <w:rFonts w:cs="David" w:hint="cs"/>
          <w:sz w:val="28"/>
          <w:szCs w:val="28"/>
          <w:rtl/>
        </w:rPr>
        <w:t> </w:t>
      </w:r>
    </w:p>
    <w:p w:rsidR="00000000" w:rsidRDefault="00D33643">
      <w:pPr>
        <w:rPr>
          <w:rtl/>
        </w:rPr>
      </w:pPr>
      <w:r>
        <w:rPr>
          <w:rFonts w:cs="David" w:hint="cs"/>
          <w:sz w:val="28"/>
          <w:szCs w:val="28"/>
          <w:rtl/>
        </w:rPr>
        <w:t> </w:t>
      </w:r>
    </w:p>
    <w:p w:rsidR="00000000" w:rsidRDefault="00D33643">
      <w:pPr>
        <w:pStyle w:val="Heading2"/>
        <w:ind w:left="2880"/>
        <w:jc w:val="center"/>
        <w:rPr>
          <w:rFonts w:eastAsia="Times New Roman"/>
          <w:rtl/>
        </w:rPr>
      </w:pPr>
      <w:r>
        <w:rPr>
          <w:rFonts w:eastAsia="Times New Roman" w:cs="David" w:hint="cs"/>
          <w:sz w:val="24"/>
          <w:szCs w:val="24"/>
          <w:rtl/>
        </w:rPr>
        <w:t>____________________</w:t>
      </w:r>
    </w:p>
    <w:p w:rsidR="00000000" w:rsidRDefault="00D33643">
      <w:pPr>
        <w:ind w:left="2880"/>
        <w:jc w:val="center"/>
        <w:rPr>
          <w:rtl/>
        </w:rPr>
      </w:pPr>
      <w:r>
        <w:rPr>
          <w:rFonts w:cs="David" w:hint="cs"/>
          <w:sz w:val="24"/>
          <w:szCs w:val="24"/>
          <w:rtl/>
        </w:rPr>
        <w:t>רונית קן</w:t>
      </w:r>
    </w:p>
    <w:p w:rsidR="00000000" w:rsidRDefault="00D33643">
      <w:pPr>
        <w:ind w:left="2880"/>
        <w:jc w:val="center"/>
        <w:rPr>
          <w:rtl/>
        </w:rPr>
      </w:pPr>
      <w:r>
        <w:rPr>
          <w:rFonts w:cs="David" w:hint="cs"/>
          <w:sz w:val="24"/>
          <w:szCs w:val="24"/>
          <w:rtl/>
        </w:rPr>
        <w:t>הממונה על הגבלים עסקיים</w:t>
      </w:r>
    </w:p>
    <w:p w:rsidR="00000000" w:rsidRDefault="00D33643">
      <w:pPr>
        <w:rPr>
          <w:rtl/>
        </w:rPr>
      </w:pPr>
      <w:r>
        <w:rPr>
          <w:rFonts w:cs="David" w:hint="cs"/>
          <w:sz w:val="24"/>
          <w:szCs w:val="24"/>
          <w:rtl/>
        </w:rPr>
        <w:t>ירושלים, כ"ה אייר תשס"ז</w:t>
      </w:r>
    </w:p>
    <w:p w:rsidR="00000000" w:rsidRDefault="00D33643">
      <w:pPr>
        <w:rPr>
          <w:rtl/>
        </w:rPr>
      </w:pPr>
      <w:r>
        <w:rPr>
          <w:rFonts w:cs="David" w:hint="cs"/>
          <w:sz w:val="24"/>
          <w:szCs w:val="24"/>
          <w:rtl/>
        </w:rPr>
        <w:t>13 במאי, 2007</w:t>
      </w:r>
    </w:p>
    <w:p w:rsidR="00000000" w:rsidRDefault="00D33643">
      <w:pPr>
        <w:rPr>
          <w:rtl/>
        </w:rPr>
      </w:pPr>
      <w:r>
        <w:rPr>
          <w:rFonts w:cs="David" w:hint="cs"/>
          <w:sz w:val="24"/>
          <w:szCs w:val="24"/>
          <w:rtl/>
        </w:rPr>
        <w:t xml:space="preserve">              </w:t>
      </w:r>
    </w:p>
    <w:p w:rsidR="00000000" w:rsidRDefault="00D33643">
      <w:pPr>
        <w:rPr>
          <w:rtl/>
        </w:rPr>
      </w:pPr>
      <w:r>
        <w:rPr>
          <w:rFonts w:cs="David" w:hint="cs"/>
          <w:rtl/>
        </w:rPr>
        <w:t> </w:t>
      </w:r>
    </w:p>
    <w:p w:rsidR="00000000" w:rsidRDefault="00D33643">
      <w:pPr>
        <w:spacing w:before="0" w:line="240" w:lineRule="auto"/>
        <w:jc w:val="left"/>
        <w:divId w:val="1977105340"/>
        <w:rPr>
          <w:rFonts w:eastAsia="Times New Roman"/>
          <w:sz w:val="24"/>
          <w:szCs w:val="24"/>
          <w:rtl/>
        </w:rPr>
      </w:pPr>
      <w:r>
        <w:rPr>
          <w:rFonts w:eastAsia="Times New Roman" w:hint="cs"/>
          <w:sz w:val="24"/>
          <w:szCs w:val="24"/>
          <w:rtl/>
        </w:rPr>
        <w:br w:type="textWrapping" w:clear="all"/>
      </w:r>
    </w:p>
    <w:p w:rsidR="00000000" w:rsidRDefault="00D33643">
      <w:pPr>
        <w:spacing w:before="0" w:line="240" w:lineRule="auto"/>
        <w:jc w:val="left"/>
        <w:divId w:val="1977105340"/>
        <w:rPr>
          <w:rFonts w:eastAsia="Times New Roman" w:hint="cs"/>
          <w:sz w:val="24"/>
          <w:szCs w:val="24"/>
          <w:rtl/>
        </w:rPr>
      </w:pPr>
      <w:r>
        <w:rPr>
          <w:rFonts w:eastAsia="Times New Roman" w:hint="cs"/>
          <w:sz w:val="24"/>
          <w:szCs w:val="24"/>
        </w:rPr>
        <w:pict>
          <v:rect id="_x0000_i1025" style="width:141.1pt;height:.75pt" o:hrpct="330" o:hralign="right" o:hrstd="t" o:hr="t" fillcolor="#a0a0a0" stroked="f"/>
        </w:pict>
      </w:r>
    </w:p>
    <w:bookmarkStart w:id="3" w:name="_ftn1"/>
    <w:p w:rsidR="00000000" w:rsidRDefault="00D33643">
      <w:pPr>
        <w:pStyle w:val="FootnoteText"/>
        <w:divId w:val="151144279"/>
        <w:rPr>
          <w:rFonts w:hint="cs"/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HYPERLINK "" \l "_ftnref1" \o</w:instrText>
      </w:r>
      <w:r>
        <w:rPr>
          <w:rtl/>
        </w:rPr>
        <w:instrText xml:space="preserve"> ""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Style w:val="FootnoteReference"/>
          <w:color w:val="0000FF"/>
          <w:u w:val="single"/>
        </w:rPr>
        <w:t>[1]</w:t>
      </w:r>
      <w:r>
        <w:rPr>
          <w:rtl/>
        </w:rPr>
        <w:fldChar w:fldCharType="end"/>
      </w:r>
      <w:bookmarkEnd w:id="3"/>
      <w:r>
        <w:rPr>
          <w:rFonts w:cs="David" w:hint="cs"/>
          <w:rtl/>
        </w:rPr>
        <w:t xml:space="preserve"> ס"ח התשמ"ח, עמ' 128.</w:t>
      </w:r>
    </w:p>
    <w:bookmarkStart w:id="4" w:name="_ftn2"/>
    <w:p w:rsidR="00000000" w:rsidRDefault="00D33643">
      <w:pPr>
        <w:spacing w:line="240" w:lineRule="auto"/>
        <w:jc w:val="left"/>
        <w:divId w:val="1834834783"/>
        <w:rPr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HYPERLINK "" \l "_ftnref2" \o</w:instrText>
      </w:r>
      <w:r>
        <w:rPr>
          <w:rtl/>
        </w:rPr>
        <w:instrText xml:space="preserve"> ""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Style w:val="FootnoteReference"/>
          <w:color w:val="0000FF"/>
          <w:sz w:val="20"/>
          <w:szCs w:val="20"/>
          <w:u w:val="single"/>
        </w:rPr>
        <w:t>[2]</w:t>
      </w:r>
      <w:r>
        <w:rPr>
          <w:rtl/>
        </w:rPr>
        <w:fldChar w:fldCharType="end"/>
      </w:r>
      <w:bookmarkEnd w:id="4"/>
      <w:r>
        <w:rPr>
          <w:sz w:val="20"/>
          <w:szCs w:val="20"/>
        </w:rPr>
        <w:t xml:space="preserve"> </w:t>
      </w:r>
      <w:r>
        <w:rPr>
          <w:rFonts w:cs="David" w:hint="cs"/>
          <w:sz w:val="20"/>
          <w:szCs w:val="20"/>
          <w:rtl/>
        </w:rPr>
        <w:t> פורסם ב-י.פ. 4882 עמ' 3510, התש"ס.</w:t>
      </w:r>
    </w:p>
    <w:p w:rsidR="00000000" w:rsidRDefault="00D33643">
      <w:pPr>
        <w:pStyle w:val="Footer"/>
        <w:divId w:val="1127430601"/>
        <w:rPr>
          <w:szCs w:val="14"/>
          <w:rtl/>
        </w:rPr>
      </w:pPr>
    </w:p>
    <w:p w:rsidR="00000000" w:rsidRDefault="00D33643">
      <w:pPr>
        <w:bidi w:val="0"/>
        <w:spacing w:before="0" w:line="240" w:lineRule="auto"/>
        <w:jc w:val="left"/>
        <w:divId w:val="1127430601"/>
        <w:rPr>
          <w:rFonts w:eastAsia="Times New Roman"/>
          <w:sz w:val="24"/>
          <w:szCs w:val="24"/>
          <w:rtl/>
        </w:rPr>
      </w:pPr>
      <w:r>
        <w:rPr>
          <w:rFonts w:eastAsia="Times New Roman" w:hint="cs"/>
          <w:sz w:val="24"/>
          <w:szCs w:val="24"/>
        </w:rPr>
        <w:t>\</w:t>
      </w:r>
    </w:p>
    <w:sectPr w:rsidR="00000000">
      <w:pgSz w:w="11906" w:h="16838"/>
      <w:pgMar w:top="1440" w:right="1797" w:bottom="1440" w:left="1797" w:header="708" w:footer="708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33643">
      <w:pPr>
        <w:spacing w:before="0" w:line="240" w:lineRule="auto"/>
      </w:pPr>
      <w:r>
        <w:separator/>
      </w:r>
    </w:p>
  </w:endnote>
  <w:endnote w:type="continuationSeparator" w:id="0">
    <w:p w:rsidR="00000000" w:rsidRDefault="00D3364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33643">
      <w:pPr>
        <w:spacing w:before="0" w:line="240" w:lineRule="auto"/>
      </w:pPr>
      <w:r>
        <w:separator/>
      </w:r>
    </w:p>
  </w:footnote>
  <w:footnote w:type="continuationSeparator" w:id="0">
    <w:p w:rsidR="00000000" w:rsidRDefault="00D33643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012F5"/>
    <w:rsid w:val="001012F5"/>
    <w:rsid w:val="00BA2835"/>
    <w:rsid w:val="00D3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5F77C5-4B62-491C-B17B-1D210521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before="120" w:line="360" w:lineRule="auto"/>
      <w:jc w:val="both"/>
    </w:pPr>
    <w:rPr>
      <w:rFonts w:eastAsiaTheme="minorEastAsi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pPr>
      <w:keepNext/>
      <w:spacing w:before="0" w:line="240" w:lineRule="auto"/>
      <w:outlineLvl w:val="0"/>
    </w:pPr>
    <w:rPr>
      <w:b/>
      <w:bCs/>
      <w:kern w:val="36"/>
      <w:u w:val="single"/>
    </w:rPr>
  </w:style>
  <w:style w:type="paragraph" w:styleId="Heading2">
    <w:name w:val="heading 2"/>
    <w:basedOn w:val="Normal"/>
    <w:link w:val="Heading2Char"/>
    <w:uiPriority w:val="9"/>
    <w:qFormat/>
    <w:pPr>
      <w:keepNext/>
      <w:spacing w:before="0" w:line="240" w:lineRule="auto"/>
      <w:outlineLvl w:val="1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bidi w:val="0"/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pPr>
      <w:jc w:val="right"/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5">
    <w:name w:val="toc 5"/>
    <w:basedOn w:val="Normal"/>
    <w:autoRedefine/>
    <w:uiPriority w:val="39"/>
    <w:semiHidden/>
    <w:unhideWhenUsed/>
    <w:pPr>
      <w:spacing w:before="0" w:line="240" w:lineRule="auto"/>
      <w:ind w:left="958"/>
      <w:jc w:val="left"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overflowPunct w:val="0"/>
      <w:autoSpaceDE w:val="0"/>
      <w:autoSpaceDN w:val="0"/>
      <w:spacing w:before="0" w:after="120" w:line="30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pPr>
      <w:jc w:val="right"/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eastAsiaTheme="minorEastAsia"/>
      <w:sz w:val="22"/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eastAsiaTheme="minorEastAsia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a">
    <w:name w:val="a"/>
    <w:basedOn w:val="Normal"/>
    <w:pPr>
      <w:jc w:val="right"/>
    </w:p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D33643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364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88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titrust.gov.i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 Shafir</dc:creator>
  <cp:keywords/>
  <dc:description/>
  <cp:lastModifiedBy>Melita Shafir</cp:lastModifiedBy>
  <cp:revision>3</cp:revision>
  <dcterms:created xsi:type="dcterms:W3CDTF">2019-01-16T09:44:00Z</dcterms:created>
  <dcterms:modified xsi:type="dcterms:W3CDTF">2019-01-16T09:44:00Z</dcterms:modified>
</cp:coreProperties>
</file>